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84" w:rsidRPr="004E2BF1" w:rsidRDefault="004E2BF1">
      <w:pPr>
        <w:rPr>
          <w:i/>
        </w:rPr>
      </w:pPr>
      <w:r w:rsidRPr="004E2BF1">
        <w:rPr>
          <w:rStyle w:val="a4"/>
          <w:i/>
          <w:iCs/>
        </w:rPr>
        <w:t>Προς τον πρόεδρο της Κομισιόν</w:t>
      </w:r>
      <w:r w:rsidRPr="004E2BF1">
        <w:rPr>
          <w:b/>
          <w:bCs/>
          <w:i/>
          <w:iCs/>
        </w:rPr>
        <w:br/>
      </w:r>
      <w:r w:rsidRPr="004E2BF1">
        <w:rPr>
          <w:rStyle w:val="a4"/>
          <w:i/>
          <w:iCs/>
        </w:rPr>
        <w:t>Ζαν Κλοντ Γιούνκερ</w:t>
      </w:r>
      <w:r w:rsidRPr="004E2BF1">
        <w:rPr>
          <w:i/>
          <w:iCs/>
        </w:rPr>
        <w:br/>
      </w:r>
      <w:r w:rsidRPr="004E2BF1">
        <w:rPr>
          <w:i/>
          <w:iCs/>
        </w:rPr>
        <w:br/>
      </w:r>
      <w:r w:rsidRPr="004E2BF1">
        <w:rPr>
          <w:rStyle w:val="a3"/>
          <w:i w:val="0"/>
        </w:rPr>
        <w:t>Προς τον πρόεδρο της Ευρωπαϊκής Κεντρικής Τράπεζας </w:t>
      </w:r>
      <w:r w:rsidRPr="004E2BF1">
        <w:rPr>
          <w:i/>
          <w:iCs/>
        </w:rPr>
        <w:br/>
      </w:r>
      <w:r w:rsidRPr="004E2BF1">
        <w:rPr>
          <w:rStyle w:val="a3"/>
          <w:i w:val="0"/>
        </w:rPr>
        <w:t>Μάριο Ντράγκι</w:t>
      </w:r>
      <w:r w:rsidRPr="004E2BF1">
        <w:rPr>
          <w:i/>
          <w:iCs/>
        </w:rPr>
        <w:br/>
      </w:r>
      <w:r w:rsidRPr="004E2BF1">
        <w:rPr>
          <w:i/>
          <w:iCs/>
        </w:rPr>
        <w:br/>
      </w:r>
      <w:r w:rsidRPr="004E2BF1">
        <w:rPr>
          <w:rStyle w:val="a3"/>
          <w:i w:val="0"/>
        </w:rPr>
        <w:t>Προς την διεθύνουσα σύμβουλο του ΔΝΤ</w:t>
      </w:r>
      <w:r w:rsidRPr="004E2BF1">
        <w:rPr>
          <w:i/>
          <w:iCs/>
        </w:rPr>
        <w:br/>
      </w:r>
      <w:r w:rsidRPr="004E2BF1">
        <w:rPr>
          <w:rStyle w:val="a3"/>
          <w:i w:val="0"/>
        </w:rPr>
        <w:t>Κριστίν Λαγκάρντ</w:t>
      </w:r>
      <w:r w:rsidRPr="004E2BF1">
        <w:rPr>
          <w:i/>
          <w:iCs/>
        </w:rPr>
        <w:br/>
      </w:r>
      <w:r w:rsidRPr="004E2BF1">
        <w:rPr>
          <w:i/>
          <w:iCs/>
        </w:rPr>
        <w:br/>
      </w:r>
      <w:r w:rsidRPr="004E2BF1">
        <w:rPr>
          <w:rStyle w:val="a3"/>
          <w:i w:val="0"/>
        </w:rPr>
        <w:t>Σας γράφω για να σας ενημερώσω για τη θέση της Ελληνικής Δημοκρατίας όσον αφορά τη λίστα των Prior Actions (προαπαιτουμένων) της Staff Level Agreement όπως αυτή δημοσιεύθηκε στην ιστοσελίδα της Ευρωπαϊκής Επιτροπής στις 28 Ιουνίου 2015. </w:t>
      </w:r>
      <w:r w:rsidRPr="004E2BF1">
        <w:rPr>
          <w:i/>
          <w:iCs/>
        </w:rPr>
        <w:br/>
      </w:r>
      <w:r w:rsidRPr="004E2BF1">
        <w:rPr>
          <w:i/>
          <w:iCs/>
        </w:rPr>
        <w:br/>
      </w:r>
      <w:r w:rsidRPr="004E2BF1">
        <w:rPr>
          <w:rStyle w:val="a3"/>
          <w:i w:val="0"/>
        </w:rPr>
        <w:t>Η Ελληνική Δημοκρατία είναι έτοιμη να δεχθεί αυτή το staff-level agreement (τεχνική συμφωνία σε επίπεδο εμπειρογνωμόνων) που υπόκειται στις ακόλουθες τροποποιήσεις, προσθήκες ή επεξηγήσεις, ως ένα τμήμα της επέκτασης του εκπνέοντος προγράμματος διάσωσης EFSF και της νέας δανειακής συμφωνίας για την οποία εστάλη αίτημα σήμερα, Τρίτη 30 Ιουνιου 2015 </w:t>
      </w:r>
      <w:r w:rsidRPr="004E2BF1">
        <w:rPr>
          <w:i/>
          <w:iCs/>
        </w:rPr>
        <w:br/>
      </w:r>
      <w:r w:rsidRPr="004E2BF1">
        <w:rPr>
          <w:i/>
          <w:iCs/>
        </w:rPr>
        <w:br/>
      </w:r>
      <w:r w:rsidRPr="004E2BF1">
        <w:rPr>
          <w:rStyle w:val="a3"/>
          <w:i w:val="0"/>
        </w:rPr>
        <w:t>Όπως θα παρατηρήσετε οι προσθήκες μας είναι συγκεκριμένες και σέβονται απολύτως την ευρωστία και την αξιοπιστία του σχεδιασμού του συνολικού προγράμματος.</w:t>
      </w:r>
      <w:r w:rsidRPr="004E2BF1">
        <w:rPr>
          <w:i/>
          <w:iCs/>
        </w:rPr>
        <w:br/>
      </w:r>
      <w:r w:rsidRPr="004E2BF1">
        <w:rPr>
          <w:i/>
          <w:iCs/>
        </w:rPr>
        <w:br/>
      </w:r>
      <w:r w:rsidRPr="004E2BF1">
        <w:rPr>
          <w:rStyle w:val="a4"/>
          <w:i/>
          <w:iCs/>
        </w:rPr>
        <w:t>ΦΠΑ</w:t>
      </w:r>
      <w:r w:rsidRPr="004E2BF1">
        <w:rPr>
          <w:i/>
          <w:iCs/>
        </w:rPr>
        <w:br/>
      </w:r>
      <w:r w:rsidRPr="004E2BF1">
        <w:rPr>
          <w:rStyle w:val="a3"/>
          <w:i w:val="0"/>
        </w:rPr>
        <w:t>Να διατηρηθεί η έκπτωση του 30% στα νησιά επί των νέων συντελεστών που θα εφαρμοστούν</w:t>
      </w:r>
      <w:r w:rsidRPr="004E2BF1">
        <w:rPr>
          <w:i/>
          <w:iCs/>
        </w:rPr>
        <w:br/>
      </w:r>
      <w:r w:rsidRPr="004E2BF1">
        <w:rPr>
          <w:i/>
          <w:iCs/>
        </w:rPr>
        <w:br/>
      </w:r>
      <w:r w:rsidRPr="004E2BF1">
        <w:rPr>
          <w:rStyle w:val="a4"/>
          <w:i/>
          <w:iCs/>
        </w:rPr>
        <w:t>Δομικά δημοσιονομικά μέτρα</w:t>
      </w:r>
      <w:r w:rsidRPr="004E2BF1">
        <w:rPr>
          <w:i/>
          <w:iCs/>
        </w:rPr>
        <w:br/>
      </w:r>
      <w:r w:rsidRPr="004E2BF1">
        <w:rPr>
          <w:rStyle w:val="a3"/>
          <w:i w:val="0"/>
        </w:rPr>
        <w:t>Σταδιακή αύξηση της προκαταβολής πληρωμής του ατομικού φόρου στο 100% και τη σταδιακή κατάργηση της ειδικής φορολογικής μεταχείρισης των αγροτών (περιλαμβανομένης της επιδότησης στο πετρέλαιο κίνησης) μέχρι το τέλος του 2017.</w:t>
      </w:r>
      <w:r w:rsidRPr="004E2BF1">
        <w:rPr>
          <w:i/>
          <w:iCs/>
        </w:rPr>
        <w:br/>
      </w:r>
      <w:r w:rsidRPr="004E2BF1">
        <w:rPr>
          <w:rStyle w:val="a3"/>
          <w:i w:val="0"/>
        </w:rPr>
        <w:t>Περιορισμό των αμυντικών δαπανών στα 200 εκατ. ευρώ γα το 2016 και στα 400 εκατ. ευρώ για το 2017 μέσα από μια συγκεκριμένη ομάδα ενεργειών, περιλαμβανομένων της μείωσης του αριθμού του προσωπικού και προμηθειών.</w:t>
      </w:r>
      <w:r w:rsidRPr="004E2BF1">
        <w:rPr>
          <w:i/>
          <w:iCs/>
        </w:rPr>
        <w:br/>
      </w:r>
      <w:r w:rsidRPr="004E2BF1">
        <w:rPr>
          <w:i/>
          <w:iCs/>
        </w:rPr>
        <w:br/>
      </w:r>
      <w:r w:rsidRPr="004E2BF1">
        <w:rPr>
          <w:rStyle w:val="a4"/>
          <w:i/>
          <w:iCs/>
        </w:rPr>
        <w:t>Συντάξεις</w:t>
      </w:r>
      <w:r w:rsidRPr="004E2BF1">
        <w:rPr>
          <w:i/>
          <w:iCs/>
        </w:rPr>
        <w:br/>
      </w:r>
      <w:r w:rsidRPr="004E2BF1">
        <w:rPr>
          <w:rStyle w:val="a3"/>
          <w:i w:val="0"/>
        </w:rPr>
        <w:t>Θα εφαρμοστεί πλήρως η μεταρρύθμιση του 2010 αλλά η εφαρμογή της μεταρρύθμισης του 2012 (ρήτρα μηδενικού ελλείμματος) να αναβληθεί μέχρι να εφαρμοστεί η νέα νομοθετική μεταρρύθμιση έως τον Οκτώβριο 2015</w:t>
      </w:r>
      <w:r w:rsidRPr="004E2BF1">
        <w:rPr>
          <w:i/>
          <w:iCs/>
        </w:rPr>
        <w:br/>
      </w:r>
      <w:r w:rsidRPr="004E2BF1">
        <w:rPr>
          <w:rStyle w:val="a3"/>
          <w:i w:val="0"/>
        </w:rPr>
        <w:t>Σταδιακή κατάργηση του ΕΚΑΣ έως το τέλος του 2019 αλλά χωρίς άμεση εφαρμογή για το 20% των δικαιούχων</w:t>
      </w:r>
      <w:r w:rsidRPr="004E2BF1">
        <w:rPr>
          <w:i/>
          <w:iCs/>
        </w:rPr>
        <w:br/>
      </w:r>
      <w:r w:rsidRPr="004E2BF1">
        <w:rPr>
          <w:rStyle w:val="a3"/>
          <w:i w:val="0"/>
        </w:rPr>
        <w:t>Όλα τα έξοδα θα καταργηθούν σταδιακά έως το τέλος του 2017 αρχής γενομένης της 31ης Οκτωβρίου 2015.</w:t>
      </w:r>
      <w:r w:rsidRPr="004E2BF1">
        <w:rPr>
          <w:i/>
          <w:iCs/>
        </w:rPr>
        <w:br/>
      </w:r>
      <w:r w:rsidRPr="004E2BF1">
        <w:rPr>
          <w:i/>
          <w:iCs/>
        </w:rPr>
        <w:br/>
      </w:r>
      <w:r w:rsidRPr="004E2BF1">
        <w:rPr>
          <w:rStyle w:val="a4"/>
          <w:i/>
          <w:iCs/>
        </w:rPr>
        <w:t>Εργασιακά</w:t>
      </w:r>
      <w:r w:rsidRPr="004E2BF1">
        <w:rPr>
          <w:i/>
          <w:iCs/>
        </w:rPr>
        <w:br/>
      </w:r>
      <w:r w:rsidRPr="004E2BF1">
        <w:rPr>
          <w:rStyle w:val="a3"/>
          <w:i w:val="0"/>
        </w:rPr>
        <w:t>Το νέο εργασιακό πλαίσιο θα νομοθετηθεί μέχρι το φθινόπωρο του 2015</w:t>
      </w:r>
      <w:r w:rsidRPr="004E2BF1">
        <w:rPr>
          <w:i/>
          <w:iCs/>
        </w:rPr>
        <w:br/>
      </w:r>
      <w:r w:rsidRPr="004E2BF1">
        <w:rPr>
          <w:i/>
          <w:iCs/>
        </w:rPr>
        <w:lastRenderedPageBreak/>
        <w:br/>
      </w:r>
      <w:r w:rsidRPr="004E2BF1">
        <w:rPr>
          <w:rStyle w:val="a4"/>
          <w:i/>
          <w:iCs/>
        </w:rPr>
        <w:t>Αγορές προϊόντων</w:t>
      </w:r>
      <w:r w:rsidRPr="004E2BF1">
        <w:rPr>
          <w:i/>
          <w:iCs/>
        </w:rPr>
        <w:br/>
      </w:r>
      <w:r w:rsidRPr="004E2BF1">
        <w:rPr>
          <w:i/>
          <w:iCs/>
        </w:rPr>
        <w:br/>
      </w:r>
      <w:r w:rsidRPr="004E2BF1">
        <w:rPr>
          <w:rStyle w:val="a3"/>
          <w:i w:val="0"/>
        </w:rPr>
        <w:t>Άμεση εφαρμογή συγκεκριμένων συστάσεων από τον ΟΟΣΑ τουριστικές ενοικιάσεις, τουριστικά λεωφορεία, άδειες φορτηγών, κώδικα δεοντολογίας για τα παραδοσιακά τρόφιμα και τους ευρωπαϊκούς κώδικες για τα οικοδομικά υλικά, απελευθέρωση επαγγελμάτων συμβολαιογράφων, αναλογιστών, και δικαστικών επιμελητών, η απελευθέρωση της αγοράς των γυμναστηρίων και η εξάλειψη ενός σημαντικού ποσοστού ενοχλητικών χρεώσεων.</w:t>
      </w:r>
      <w:r w:rsidRPr="004E2BF1">
        <w:rPr>
          <w:i/>
          <w:iCs/>
        </w:rPr>
        <w:br/>
      </w:r>
      <w:r w:rsidRPr="004E2BF1">
        <w:rPr>
          <w:i/>
          <w:iCs/>
        </w:rPr>
        <w:br/>
      </w:r>
      <w:r w:rsidRPr="004E2BF1">
        <w:rPr>
          <w:rStyle w:val="a4"/>
          <w:i/>
          <w:iCs/>
        </w:rPr>
        <w:t>Επιπροσθέτως, σε συνεργασία με τον ΟΟΣΑ, εφαρμογή ενός γενναίου προγράμματος μεταρρυθμίσεων συμπεριλαμβανομένων:</w:t>
      </w:r>
      <w:r w:rsidRPr="004E2BF1">
        <w:rPr>
          <w:i/>
          <w:iCs/>
        </w:rPr>
        <w:br/>
      </w:r>
      <w:r w:rsidRPr="004E2BF1">
        <w:rPr>
          <w:i/>
          <w:iCs/>
        </w:rPr>
        <w:br/>
      </w:r>
      <w:r w:rsidRPr="004E2BF1">
        <w:rPr>
          <w:rStyle w:val="a3"/>
          <w:i w:val="0"/>
        </w:rPr>
        <w:t>- Δημιουργία υπηρεσιών Οne-Stop-Shop (OSS) για επιχειρήσεις (ανάλυση των βέλτιστων πρακτικών καθώς και έναν ολοκληρωμένο χάρτης πορείας ο οποίος έχει ήδη δημιουργηθεί και ολοκληρωθεί με τη βοήθεια του ΟΟΣΑ).</w:t>
      </w:r>
      <w:r w:rsidRPr="004E2BF1">
        <w:rPr>
          <w:i/>
          <w:iCs/>
        </w:rPr>
        <w:br/>
      </w:r>
      <w:r w:rsidRPr="004E2BF1">
        <w:rPr>
          <w:rStyle w:val="a3"/>
          <w:i w:val="0"/>
        </w:rPr>
        <w:t>-Την άμεση διεξαγωγή μίας συνολικής αξιολόγησης του ανταγωνισμού σε συγκεκριμένους τομείς οι οποίοι χαρακτηρίζονται από ολιγοπωλιακές πρακτικές (π.χ. κατασκευές, χονδρικό εμπόριο, γεωργικά προϊόντα, μέσα ενημέρωσης κ.λ.π.) και υιοθέτηση των συστάσεων αναλόγως.</w:t>
      </w:r>
      <w:r w:rsidRPr="004E2BF1">
        <w:rPr>
          <w:i/>
          <w:iCs/>
        </w:rPr>
        <w:br/>
      </w:r>
      <w:r w:rsidRPr="004E2BF1">
        <w:rPr>
          <w:rStyle w:val="a3"/>
          <w:i w:val="0"/>
        </w:rPr>
        <w:t>-Εφαρμογή μίας ολοκληρωμένης στρατηγικής ενάντια στις διεφθαρμένες επιχειρήσεις και στις πρακτικές τους, για παράδειγμα στο χώρο της σύναψης δημοσίων συμβάσεων (το πρόγραμμα έχει ήδη προετοιμαστεί από τον ΟΟΣΑ).</w:t>
      </w:r>
      <w:r w:rsidRPr="004E2BF1">
        <w:rPr>
          <w:i/>
          <w:iCs/>
        </w:rPr>
        <w:br/>
      </w:r>
      <w:r w:rsidRPr="004E2BF1">
        <w:rPr>
          <w:i/>
          <w:iCs/>
        </w:rPr>
        <w:br/>
      </w:r>
      <w:r w:rsidRPr="004E2BF1">
        <w:rPr>
          <w:rStyle w:val="a3"/>
          <w:i w:val="0"/>
        </w:rPr>
        <w:t>Ο ΑΔΜΗΕ θα χωριστεί από τη ΔΕΗ σε ξεχωριστή νομική οντότητα υπό πλειοψηφική κρατική κυριότητα.</w:t>
      </w:r>
      <w:r w:rsidRPr="004E2BF1">
        <w:rPr>
          <w:i/>
          <w:iCs/>
        </w:rPr>
        <w:br/>
      </w:r>
      <w:r w:rsidRPr="004E2BF1">
        <w:rPr>
          <w:i/>
          <w:iCs/>
        </w:rPr>
        <w:br/>
      </w:r>
      <w:r w:rsidRPr="004E2BF1">
        <w:rPr>
          <w:rStyle w:val="a3"/>
          <w:i w:val="0"/>
        </w:rPr>
        <w:t>Σας ευχαριστώ εκ των προτέρων για την υποστήριξή σας.</w:t>
      </w:r>
      <w:r w:rsidRPr="004E2BF1">
        <w:rPr>
          <w:i/>
          <w:iCs/>
        </w:rPr>
        <w:br/>
      </w:r>
      <w:r w:rsidRPr="004E2BF1">
        <w:rPr>
          <w:i/>
          <w:iCs/>
        </w:rPr>
        <w:br/>
      </w:r>
      <w:r w:rsidRPr="004E2BF1">
        <w:rPr>
          <w:rStyle w:val="a3"/>
          <w:i w:val="0"/>
        </w:rPr>
        <w:t>Αλέξης Τσίπρας</w:t>
      </w:r>
    </w:p>
    <w:sectPr w:rsidR="00AD7384" w:rsidRPr="004E2B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useFELayout/>
  </w:compat>
  <w:rsids>
    <w:rsidRoot w:val="004E2BF1"/>
    <w:rsid w:val="004E2BF1"/>
    <w:rsid w:val="00AD73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E2BF1"/>
    <w:rPr>
      <w:i/>
      <w:iCs/>
    </w:rPr>
  </w:style>
  <w:style w:type="character" w:styleId="a4">
    <w:name w:val="Strong"/>
    <w:basedOn w:val="a0"/>
    <w:uiPriority w:val="22"/>
    <w:qFormat/>
    <w:rsid w:val="004E2B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2834</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zougla</dc:creator>
  <cp:keywords/>
  <dc:description/>
  <cp:lastModifiedBy>zougla</cp:lastModifiedBy>
  <cp:revision>2</cp:revision>
  <dcterms:created xsi:type="dcterms:W3CDTF">2015-07-01T10:19:00Z</dcterms:created>
  <dcterms:modified xsi:type="dcterms:W3CDTF">2015-07-01T10:19:00Z</dcterms:modified>
</cp:coreProperties>
</file>